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5651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rPr>
          <w:rFonts w:hint="eastAsia" w:ascii="Times New Roman" w:hAnsi="Times New Roman" w:eastAsia="方正黑体_GBK" w:cs="Times New Roman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14:ligatures w14:val="standardContextual"/>
        </w:rPr>
        <w:t>附件</w:t>
      </w:r>
      <w:r>
        <w:rPr>
          <w:rFonts w:ascii="Times New Roman" w:hAnsi="Times New Roman" w:eastAsia="方正黑体_GBK" w:cs="Times New Roman"/>
          <w:sz w:val="32"/>
          <w:szCs w:val="32"/>
          <w14:ligatures w14:val="standardContextual"/>
        </w:rPr>
        <w:t>5</w:t>
      </w:r>
      <w:r>
        <w:rPr>
          <w:rFonts w:hint="eastAsia" w:ascii="Times New Roman" w:hAnsi="Times New Roman" w:eastAsia="方正黑体_GBK" w:cs="Times New Roman"/>
          <w:sz w:val="32"/>
          <w:szCs w:val="32"/>
          <w14:ligatures w14:val="standardContextual"/>
        </w:rPr>
        <w:t xml:space="preserve">                      </w:t>
      </w:r>
    </w:p>
    <w:p w14:paraId="1934E99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4"/>
          <w14:ligatures w14:val="standardContextual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4"/>
          <w14:ligatures w14:val="standardContextual"/>
        </w:rPr>
        <w:t>安徽省技术先进型服务企业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4"/>
          <w:lang w:val="en-US" w:eastAsia="zh-CN"/>
          <w14:ligatures w14:val="standardContextual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4"/>
          <w14:ligatures w14:val="standardContextual"/>
        </w:rPr>
        <w:t>汇总表</w:t>
      </w:r>
    </w:p>
    <w:p w14:paraId="7A514D00">
      <w:pPr>
        <w:widowControl w:val="0"/>
        <w:spacing w:after="140" w:line="276" w:lineRule="auto"/>
        <w:jc w:val="both"/>
        <w:rPr>
          <w:rFonts w:hint="eastAsia" w:ascii="等线" w:hAnsi="等线" w:eastAsia="等线" w:cs="Times New Roman"/>
          <w:kern w:val="2"/>
          <w:sz w:val="21"/>
          <w:szCs w:val="22"/>
          <w:lang w:val="en-US" w:eastAsia="zh-CN" w:bidi="ar-SA"/>
          <w14:ligatures w14:val="standardContextual"/>
        </w:rPr>
      </w:pPr>
    </w:p>
    <w:p w14:paraId="05B3979F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spacing w:after="156" w:afterLines="50" w:line="240" w:lineRule="atLeast"/>
        <w:ind w:left="295" w:leftChars="-337" w:hanging="1003" w:hangingChars="358"/>
        <w:rPr>
          <w:rFonts w:ascii="宋体" w:hAnsi="宋体" w:eastAsia="等线" w:cs="Times New Roman"/>
          <w:b/>
          <w:sz w:val="28"/>
          <w:szCs w:val="28"/>
          <w14:ligatures w14:val="standardContextual"/>
        </w:rPr>
      </w:pPr>
      <w:r>
        <w:rPr>
          <w:rFonts w:hint="eastAsia" w:ascii="宋体" w:hAnsi="宋体" w:eastAsia="等线" w:cs="Times New Roman"/>
          <w:b/>
          <w:sz w:val="28"/>
          <w:szCs w:val="28"/>
          <w14:ligatures w14:val="standardContextual"/>
        </w:rPr>
        <w:t>市科技、商务、财政、税务和发展改革部门盖章：</w:t>
      </w:r>
    </w:p>
    <w:tbl>
      <w:tblPr>
        <w:tblStyle w:val="2"/>
        <w:tblW w:w="154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621"/>
        <w:gridCol w:w="990"/>
        <w:gridCol w:w="939"/>
        <w:gridCol w:w="996"/>
        <w:gridCol w:w="900"/>
        <w:gridCol w:w="900"/>
        <w:gridCol w:w="708"/>
        <w:gridCol w:w="902"/>
        <w:gridCol w:w="819"/>
        <w:gridCol w:w="819"/>
        <w:gridCol w:w="818"/>
        <w:gridCol w:w="2075"/>
        <w:gridCol w:w="1295"/>
        <w:gridCol w:w="1133"/>
      </w:tblGrid>
      <w:tr w14:paraId="7A8A7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2B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序号</w:t>
            </w:r>
          </w:p>
        </w:tc>
        <w:tc>
          <w:tcPr>
            <w:tcW w:w="16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7D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企业名称</w:t>
            </w:r>
          </w:p>
        </w:tc>
        <w:tc>
          <w:tcPr>
            <w:tcW w:w="38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6B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企业从事技术先进型服务业务范围</w:t>
            </w:r>
          </w:p>
        </w:tc>
        <w:tc>
          <w:tcPr>
            <w:tcW w:w="496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94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企业上年度经营情况</w:t>
            </w:r>
          </w:p>
        </w:tc>
        <w:tc>
          <w:tcPr>
            <w:tcW w:w="20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98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企业设立研发机构</w:t>
            </w:r>
          </w:p>
          <w:p w14:paraId="13EB2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color w:val="FF0000"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及创新载体情况</w:t>
            </w:r>
          </w:p>
        </w:tc>
        <w:tc>
          <w:tcPr>
            <w:tcW w:w="12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71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具有大专以上学历员工占企业职工总数的比例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A8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所在市、县（市、区）</w:t>
            </w:r>
          </w:p>
        </w:tc>
      </w:tr>
      <w:tr w14:paraId="4B023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7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162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71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8B9C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30" w:right="-63" w:rightChars="-30" w:hanging="62" w:hangingChars="31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信息技术外包服务</w:t>
            </w:r>
          </w:p>
          <w:p w14:paraId="5BD26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30" w:right="-63" w:rightChars="-30" w:hanging="62" w:hangingChars="31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(ITO)</w:t>
            </w:r>
          </w:p>
        </w:tc>
        <w:tc>
          <w:tcPr>
            <w:tcW w:w="93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5153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技术性</w:t>
            </w:r>
          </w:p>
          <w:p w14:paraId="17111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业务流程外包服务</w:t>
            </w:r>
          </w:p>
          <w:p w14:paraId="438C3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(BPO)</w:t>
            </w:r>
          </w:p>
        </w:tc>
        <w:tc>
          <w:tcPr>
            <w:tcW w:w="99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01FC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技术性</w:t>
            </w:r>
          </w:p>
          <w:p w14:paraId="2E9BE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知识流程外包服务</w:t>
            </w:r>
          </w:p>
          <w:p w14:paraId="29321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(KPO)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9D2B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服务</w:t>
            </w:r>
          </w:p>
          <w:p w14:paraId="5672A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贸易类</w:t>
            </w:r>
          </w:p>
          <w:p w14:paraId="242D4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A8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总收入</w:t>
            </w:r>
          </w:p>
          <w:p w14:paraId="7A6D6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(万元)</w:t>
            </w:r>
          </w:p>
        </w:tc>
        <w:tc>
          <w:tcPr>
            <w:tcW w:w="16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18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1" w:right="-118" w:rightChars="-56" w:hanging="106" w:hangingChars="53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技术先进型服务</w:t>
            </w:r>
          </w:p>
        </w:tc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AE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color w:val="FF0000"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离岸外包服务</w:t>
            </w:r>
          </w:p>
        </w:tc>
        <w:tc>
          <w:tcPr>
            <w:tcW w:w="2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C4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color w:val="FF0000"/>
                <w:kern w:val="0"/>
                <w:sz w:val="20"/>
                <w:szCs w:val="22"/>
                <w:u w:val="single"/>
                <w14:ligatures w14:val="standardContextual"/>
              </w:rPr>
            </w:pPr>
          </w:p>
        </w:tc>
        <w:tc>
          <w:tcPr>
            <w:tcW w:w="12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E4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0085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</w:p>
        </w:tc>
      </w:tr>
      <w:tr w14:paraId="42A5A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C7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16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5E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B5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color w:val="FF0000"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93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79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color w:val="FF0000"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99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8C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48" w:right="-178" w:rightChars="-85" w:hanging="100" w:hangingChars="50"/>
              <w:jc w:val="center"/>
              <w:rPr>
                <w:rFonts w:ascii="宋体" w:hAnsi="宋体" w:eastAsia="等线" w:cs="宋体"/>
                <w:b/>
                <w:bCs/>
                <w:color w:val="FF0000"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9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A37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82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52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1" w:right="-120" w:rightChars="-57" w:hanging="106" w:hangingChars="53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业务</w:t>
            </w:r>
          </w:p>
          <w:p w14:paraId="4E31E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1" w:right="-120" w:rightChars="-57" w:hanging="106" w:hangingChars="53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收入</w:t>
            </w:r>
          </w:p>
          <w:p w14:paraId="7764C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1" w:right="-120" w:rightChars="-57" w:hanging="106" w:hangingChars="53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(万元)</w:t>
            </w: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C3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收入</w:t>
            </w:r>
            <w:r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占总收入比重</w:t>
            </w:r>
          </w:p>
          <w:p w14:paraId="364D3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(%)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75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8" w:right="-8" w:rightChars="-4" w:hanging="16" w:hangingChars="8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业务</w:t>
            </w:r>
          </w:p>
          <w:p w14:paraId="5EF4A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8" w:right="-8" w:rightChars="-4" w:hanging="16" w:hangingChars="8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收入</w:t>
            </w:r>
          </w:p>
          <w:p w14:paraId="2976E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8" w:right="-8" w:rightChars="-4" w:hanging="16" w:hangingChars="8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(万元)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E1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5" w:right="-181" w:rightChars="-86" w:hanging="114" w:hangingChars="57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收入</w:t>
            </w:r>
            <w:r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占</w:t>
            </w:r>
          </w:p>
          <w:p w14:paraId="2D5DC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5" w:right="-181" w:rightChars="-86" w:hanging="114" w:hangingChars="57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总收入</w:t>
            </w:r>
          </w:p>
          <w:p w14:paraId="5F0D3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5" w:right="-181" w:rightChars="-86" w:hanging="114" w:hangingChars="57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比重</w:t>
            </w:r>
          </w:p>
          <w:p w14:paraId="18FA1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5" w:right="-181" w:rightChars="-86" w:hanging="114" w:hangingChars="57"/>
              <w:jc w:val="center"/>
              <w:rPr>
                <w:rFonts w:ascii="宋体" w:hAnsi="宋体" w:eastAsia="等线" w:cs="宋体"/>
                <w:b/>
                <w:bCs/>
                <w:color w:val="FF0000"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(%)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6E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46" w:right="-197" w:rightChars="-94" w:hanging="96" w:hangingChars="48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合同</w:t>
            </w:r>
          </w:p>
          <w:p w14:paraId="5A3AC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46" w:right="-214" w:rightChars="-102" w:hanging="96" w:hangingChars="48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执行额</w:t>
            </w:r>
          </w:p>
          <w:p w14:paraId="11A23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5" w:right="-181" w:rightChars="-86" w:hanging="114" w:hangingChars="57"/>
              <w:jc w:val="center"/>
              <w:rPr>
                <w:rFonts w:ascii="宋体" w:hAnsi="宋体" w:eastAsia="等线" w:cs="宋体"/>
                <w:b/>
                <w:bCs/>
                <w:color w:val="FF0000"/>
                <w:kern w:val="0"/>
                <w:sz w:val="20"/>
                <w:szCs w:val="22"/>
                <w14:ligatures w14:val="standardContextual"/>
              </w:rPr>
            </w:pPr>
            <w:r>
              <w:rPr>
                <w:rFonts w:hint="eastAsia"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  <w:t>(万美元)</w:t>
            </w:r>
          </w:p>
        </w:tc>
        <w:tc>
          <w:tcPr>
            <w:tcW w:w="20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4A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color w:val="FF0000"/>
                <w:kern w:val="0"/>
                <w:sz w:val="20"/>
                <w:szCs w:val="22"/>
                <w:u w:val="single"/>
                <w14:ligatures w14:val="standardContextual"/>
              </w:rPr>
            </w:pPr>
          </w:p>
        </w:tc>
        <w:tc>
          <w:tcPr>
            <w:tcW w:w="12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AC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ACC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等线" w:cs="宋体"/>
                <w:b/>
                <w:bCs/>
                <w:kern w:val="0"/>
                <w:sz w:val="20"/>
                <w:szCs w:val="22"/>
                <w14:ligatures w14:val="standardContextual"/>
              </w:rPr>
            </w:pPr>
          </w:p>
        </w:tc>
      </w:tr>
      <w:tr w14:paraId="0CA12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63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D4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7B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BC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87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419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46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EF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EB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00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C9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2D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67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00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DE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5D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121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</w:tr>
      <w:tr w14:paraId="32486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19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99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C1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38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6F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AD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2C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C0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44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00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3F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6F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D2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00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7F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06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880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</w:tr>
      <w:tr w14:paraId="58666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1B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80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D4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A9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7E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C48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CD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95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A8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00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B0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68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1B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00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7D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47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9AF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</w:tr>
      <w:tr w14:paraId="2A29B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B4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77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FA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DD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87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861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63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89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27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00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94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DF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BD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00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1F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DF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AC6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</w:tr>
      <w:tr w14:paraId="0834E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A9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3E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46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4C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A9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EED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FF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04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D4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64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00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AF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49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83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Times New Roman"/>
                <w:color w:val="000000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4A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F0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2CB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等线" w:cs="宋体"/>
                <w:kern w:val="0"/>
                <w:sz w:val="22"/>
                <w:szCs w:val="22"/>
                <w:highlight w:val="yellow"/>
                <w14:ligatures w14:val="standardContextual"/>
              </w:rPr>
            </w:pPr>
          </w:p>
        </w:tc>
      </w:tr>
    </w:tbl>
    <w:p w14:paraId="44B0C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ascii="等线" w:hAnsi="等线" w:eastAsia="等线" w:cs="Times New Roman"/>
          <w:szCs w:val="22"/>
          <w14:ligatures w14:val="standardContextual"/>
        </w:rPr>
      </w:pPr>
      <w:r>
        <w:rPr>
          <w:rFonts w:hint="eastAsia" w:ascii="等线" w:hAnsi="等线" w:eastAsia="等线" w:cs="Times New Roman"/>
          <w:szCs w:val="22"/>
          <w14:ligatures w14:val="standardContextual"/>
        </w:rPr>
        <w:t>注：企业从事技术先进型服务业务范围在对应空格内</w:t>
      </w:r>
      <w:r>
        <w:rPr>
          <w:rFonts w:hint="eastAsia" w:ascii="等线" w:hAnsi="等线" w:eastAsia="等线" w:cs="Times New Roman"/>
          <w:szCs w:val="22"/>
          <w:lang w:val="en-US" w:eastAsia="zh-CN"/>
          <w14:ligatures w14:val="standardContextual"/>
        </w:rPr>
        <w:t>勾选</w:t>
      </w:r>
      <w:r>
        <w:rPr>
          <w:rFonts w:hint="eastAsia" w:ascii="等线" w:hAnsi="等线" w:eastAsia="等线" w:cs="Times New Roman"/>
          <w:szCs w:val="22"/>
          <w:lang w:eastAsia="zh-CN"/>
          <w14:ligatures w14:val="standardContextual"/>
        </w:rPr>
        <w:t>。</w:t>
      </w:r>
    </w:p>
    <w:p w14:paraId="570AA700"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